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Баспагерлік-редакторлық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D16151" w:rsidRPr="00090E10" w:rsidRDefault="00727F80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5A75E7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10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: </w:t>
      </w:r>
      <w:r w:rsidR="002E5179">
        <w:rPr>
          <w:rFonts w:ascii="Times New Roman" w:hAnsi="Times New Roman" w:cs="Times New Roman"/>
          <w:b/>
          <w:sz w:val="28"/>
          <w:szCs w:val="28"/>
          <w:lang w:val="kk-KZ"/>
        </w:rPr>
        <w:t>Сіндік</w:t>
      </w:r>
      <w:bookmarkStart w:id="0" w:name="_GoBack"/>
      <w:bookmarkEnd w:id="0"/>
      <w:r w:rsidR="00DE45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графика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Оқытушының аты-жөні: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Серікбай Б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51" w:rsidRPr="00090E10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Емтихан түрі: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Тапсыру уақыты: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F8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Кітаптың бір беттік иллюстрациялары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6A43">
        <w:rPr>
          <w:rFonts w:ascii="Times New Roman" w:hAnsi="Times New Roman" w:cs="Times New Roman"/>
          <w:sz w:val="28"/>
          <w:szCs w:val="28"/>
          <w:lang w:val="kk-KZ"/>
        </w:rPr>
        <w:t xml:space="preserve">Жарты беттік иллюстрацилар,  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Фронтиспис</w:t>
      </w:r>
      <w:r w:rsidR="00E07873" w:rsidRPr="00727F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Авантитул, Титул, Шмуцтитулдар, қос бетті иллюстрациялар, Кітаптың мұқабасы, колонтитул, колонцифр, т.б.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>" (+үй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E07873" w:rsidRPr="0009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, эскиздер).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Орындау техникасы: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рлі-түсті бояу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акварель,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гуашь)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7873" w:rsidRPr="00DE45EA" w:rsidRDefault="00E07873" w:rsidP="00E07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Семестрлік жұмыстарды орындау технологиясы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1. Шығармашылық тапсырманың идеясын анықтау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2. Жұмыс құрылымын қалыптастыру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3. Жұмыс жоспарын құрастыру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4. Эскиздер жасау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5. Түсті/көлеңкелерді анықтау және т. б.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6. Жұмысты бекіту және орындау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7. Жұмысты аяқтау</w:t>
      </w:r>
    </w:p>
    <w:p w:rsidR="00F83592" w:rsidRPr="00DE45EA" w:rsidRDefault="00F83592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3592" w:rsidRPr="00DE45EA" w:rsidRDefault="00F83592" w:rsidP="00F835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емтихан өткізу</w:t>
      </w:r>
    </w:p>
    <w:p w:rsidR="00F83592" w:rsidRPr="00DE45EA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осы семестр аралығында жасаған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жұмыстарынан партфолио жасап, емтиханға қояды. Қашықтықтан білім беру жағдайында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барлық жұмыстары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(НР форматындағы Фото/композициялар/ жобалар/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ер/графиктер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/ бейнематериал)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бұлтты сақтауда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облачные хранилища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және есеп мәтінінде оларға сілтемелерді көрсету</w:t>
      </w:r>
      <w:r w:rsidR="0059007A">
        <w:rPr>
          <w:rFonts w:ascii="Times New Roman" w:hAnsi="Times New Roman" w:cs="Times New Roman"/>
          <w:sz w:val="28"/>
          <w:szCs w:val="28"/>
          <w:lang w:val="kk-KZ"/>
        </w:rPr>
        <w:t>і қажет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3592" w:rsidRPr="00056A43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A43">
        <w:rPr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221F9" w:rsidRPr="00056A43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рұқсат арқылы </w:t>
      </w:r>
      <w:r w:rsidR="003221F9" w:rsidRPr="00056A43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ні ашу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сақтаңыз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56A43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.doc немесе *.docx.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ДОЖ</w:t>
      </w:r>
      <w:r w:rsidR="003221F9" w:rsidRPr="00056A43">
        <w:rPr>
          <w:rFonts w:ascii="Times New Roman" w:hAnsi="Times New Roman" w:cs="Times New Roman"/>
          <w:sz w:val="28"/>
          <w:szCs w:val="28"/>
          <w:lang w:val="kk-KZ"/>
        </w:rPr>
        <w:t xml:space="preserve"> Moodle-ға жүктеңіз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. Жүктелетін файлдардың мөлшері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50" w:rsidRPr="00056A43">
        <w:rPr>
          <w:rFonts w:ascii="Times New Roman" w:hAnsi="Times New Roman" w:cs="Times New Roman"/>
          <w:sz w:val="28"/>
          <w:szCs w:val="28"/>
          <w:lang w:val="kk-KZ"/>
        </w:rPr>
        <w:t>30 Мб.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-тан 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аспауы керек</w:t>
      </w:r>
    </w:p>
    <w:p w:rsidR="00794C16" w:rsidRPr="00090E10" w:rsidRDefault="00F83592" w:rsidP="00794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A43">
        <w:rPr>
          <w:rFonts w:ascii="Times New Roman" w:hAnsi="Times New Roman" w:cs="Times New Roman"/>
          <w:sz w:val="28"/>
          <w:szCs w:val="28"/>
          <w:lang w:val="kk-KZ"/>
        </w:rPr>
        <w:t>Студенттердің емтихан-көрме жұмыстарын ұйымдастыру және өткізу үшін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деканының өкімімен </w:t>
      </w:r>
      <w:r w:rsidR="00240E69" w:rsidRPr="00056A43">
        <w:rPr>
          <w:rFonts w:ascii="Times New Roman" w:hAnsi="Times New Roman" w:cs="Times New Roman"/>
          <w:sz w:val="28"/>
          <w:szCs w:val="28"/>
          <w:lang w:val="kk-KZ"/>
        </w:rPr>
        <w:t>комиссия құрылады.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Оның құрамы тақ саннан тұрады төрағамен бірге қосқанда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шешімі 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>емтиханға қатысушылардың көпшілік дауыс беруімен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 Комиссия мүшелерінің дауыстары тең болған жағда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йда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төрағасы шешуші болып табылады.</w:t>
      </w:r>
    </w:p>
    <w:p w:rsidR="00AD2803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Талаптарды сақтау мақсатында емтихандар өткізу кезеңіне, емтиханға ұсынылатын даулы мәселелерді шешу, деканның өкімімен тиісті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тапсырушы адамдардың құқықтарын қорғау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құрылады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, ол тақ саннан тұрады, оның төрағасын қосқанда. </w:t>
      </w:r>
    </w:p>
    <w:p w:rsidR="00794C16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Апелляцияға өтініш апелляциялық коми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ссия төрағасының атына беріледі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шығармашылық емт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ихан тапсырған студент комиссия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нәтижелерін жариялағанна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н кейін 48 сағат және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бір күн ішінде.</w:t>
      </w:r>
    </w:p>
    <w:p w:rsidR="00AD2803" w:rsidRPr="00090E10" w:rsidRDefault="00AD2803" w:rsidP="00AD28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Студенттік есеп мазмұнының мысалы: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Кіріспе бөлім: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Нақты жүктелетін құжат авторының аты-жөні;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сипаттау - дәл қойылған міндет</w:t>
      </w:r>
    </w:p>
    <w:p w:rsidR="00AD2803" w:rsidRPr="00090E10" w:rsidRDefault="00AE557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жобаның қол жеткізілген нәтижелерін сипаттау (тікелей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баяндама, бейнелер түрінде қойылған міндеттерді шешу,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байланысты бейнежазбаларға, диаграммаларға, графиктерге және т. б. сілтемелер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тапсырмадан);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 тапсырмасын орындау барысын сипаттау;</w:t>
      </w:r>
    </w:p>
    <w:p w:rsidR="00AD2803" w:rsidRPr="00090E10" w:rsidRDefault="00AD2803" w:rsidP="00AE5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туындаған ауытқулар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мен қиындықтарды сипаттау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жобалар, сондай-ақ оларды жеңудің пайдаланылған жолдары.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Қорытынды. Атқарылған жұмыс бойынша қорытындылар.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әдебиеттер тізімі;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жобада қолданылатын әдістер мен технологияларды сипаттау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қойылған міндеттердің (бағдарламалар, құралдар, түйінді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нормативтік құжаттар, әдістемелер).</w:t>
      </w:r>
    </w:p>
    <w:p w:rsidR="00794C16" w:rsidRPr="00090E10" w:rsidRDefault="00AD7CA5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Бағалау саясаты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776"/>
        <w:gridCol w:w="1416"/>
        <w:gridCol w:w="2169"/>
        <w:gridCol w:w="2588"/>
      </w:tblGrid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жүйемен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Ұпайлардың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баламасы</w:t>
            </w:r>
            <w:proofErr w:type="spellEnd"/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мазмұн</w:t>
            </w:r>
            <w:proofErr w:type="spellEnd"/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түпнұсқалығы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жүйеге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95 -100</w:t>
            </w:r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90 -94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85 -89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80 -84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75 -79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70 -74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Қанағаттанарлық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65 -69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60 -64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55 -59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7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9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7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169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Қанағатанарлықсыз</w:t>
            </w:r>
            <w:proofErr w:type="spellEnd"/>
          </w:p>
        </w:tc>
      </w:tr>
    </w:tbl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Академиялық құндылықтар: Академиялық адалдық және тұтастық: барлық тапсырмаларды өз бетінше орындау; плагиатқа, жалған құжаттарға, парақтарды, гаджеттерді қолдануға, білімді бақылаудың барлық кезеңдерінде алдау, оқытушыны алдау және оған деген құрметсіздік таныту қатынастарына жол бермеу (ҚазҰУ студентінің ар-намыс кодексі). </w:t>
      </w: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CA5" w:rsidRP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ЕМТИХАНДА СӘТТІЛІК ТІЛЕЙМІЗ!</w:t>
      </w:r>
    </w:p>
    <w:sectPr w:rsidR="00AD7CA5" w:rsidRP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1"/>
    <w:rsid w:val="00056A43"/>
    <w:rsid w:val="00090E10"/>
    <w:rsid w:val="00240E69"/>
    <w:rsid w:val="002E5179"/>
    <w:rsid w:val="002F5450"/>
    <w:rsid w:val="003221F9"/>
    <w:rsid w:val="00414E3D"/>
    <w:rsid w:val="00443A21"/>
    <w:rsid w:val="005818D3"/>
    <w:rsid w:val="0059007A"/>
    <w:rsid w:val="005B2264"/>
    <w:rsid w:val="006263AB"/>
    <w:rsid w:val="006D1F7E"/>
    <w:rsid w:val="00727F80"/>
    <w:rsid w:val="00794C16"/>
    <w:rsid w:val="0090588B"/>
    <w:rsid w:val="00AD2803"/>
    <w:rsid w:val="00AD7CA5"/>
    <w:rsid w:val="00AE5573"/>
    <w:rsid w:val="00C762A2"/>
    <w:rsid w:val="00D16151"/>
    <w:rsid w:val="00D94F64"/>
    <w:rsid w:val="00DD5B53"/>
    <w:rsid w:val="00DE45EA"/>
    <w:rsid w:val="00E07873"/>
    <w:rsid w:val="00F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23F-90FA-4AC6-8FE3-81F556F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3"/>
    <w:pPr>
      <w:ind w:left="720"/>
      <w:contextualSpacing/>
    </w:pPr>
  </w:style>
  <w:style w:type="table" w:styleId="a4">
    <w:name w:val="Table Grid"/>
    <w:basedOn w:val="a1"/>
    <w:uiPriority w:val="39"/>
    <w:rsid w:val="00A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admin</cp:lastModifiedBy>
  <cp:revision>2</cp:revision>
  <cp:lastPrinted>2020-12-25T08:54:00Z</cp:lastPrinted>
  <dcterms:created xsi:type="dcterms:W3CDTF">2023-08-20T20:02:00Z</dcterms:created>
  <dcterms:modified xsi:type="dcterms:W3CDTF">2023-08-20T20:02:00Z</dcterms:modified>
</cp:coreProperties>
</file>